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8EFA63" w14:textId="77777777" w:rsidR="002067FB" w:rsidRPr="003E4449" w:rsidRDefault="008B4844" w:rsidP="00F302F0">
      <w:pPr>
        <w:pStyle w:val="berschrift1"/>
        <w:rPr>
          <w:rFonts w:cs="Arial"/>
          <w:szCs w:val="24"/>
        </w:rPr>
      </w:pPr>
      <w:r>
        <w:t>Folha de solução Caixa de câmbio Modelo 6 - Caixa de câmbio manual</w:t>
      </w:r>
    </w:p>
    <w:p w14:paraId="5F287849" w14:textId="77777777" w:rsidR="002067FB" w:rsidRPr="003E4449" w:rsidRDefault="005A19AC" w:rsidP="00E8187C">
      <w:pPr>
        <w:pStyle w:val="Abstract"/>
        <w:rPr>
          <w:rFonts w:ascii="Arial" w:hAnsi="Arial" w:cs="Arial"/>
        </w:rPr>
      </w:pPr>
      <w:r>
        <w:rPr>
          <w:rFonts w:ascii="Arial" w:hAnsi="Arial"/>
        </w:rPr>
        <w:t>Os alunos são auxiliados na construção e resolução de tarefas individuais através do fornecimento de instruções de montagem (veja anexo). Nas tarefas onde isto é útil, isso é indicado no início da folha de solução.</w:t>
      </w:r>
    </w:p>
    <w:p w14:paraId="2E9B7DEF" w14:textId="77777777" w:rsidR="00776219" w:rsidRDefault="00776219" w:rsidP="00776219">
      <w:pPr>
        <w:rPr>
          <w:rFonts w:ascii="Arial" w:hAnsi="Arial" w:cs="Arial"/>
        </w:rPr>
      </w:pPr>
      <w:r>
        <w:rPr>
          <w:rFonts w:ascii="Arial" w:hAnsi="Arial"/>
        </w:rPr>
        <w:t>Os alunos recebem as instruções de montagem para a construção básica da caixa de câmbio manual.</w:t>
      </w:r>
    </w:p>
    <w:p w14:paraId="1E3B0581" w14:textId="77777777" w:rsidR="00F302F0" w:rsidRDefault="00F302F0" w:rsidP="00776219">
      <w:pPr>
        <w:rPr>
          <w:rFonts w:ascii="Arial" w:hAnsi="Arial" w:cs="Arial"/>
        </w:rPr>
      </w:pPr>
    </w:p>
    <w:p w14:paraId="594EEADF" w14:textId="77777777" w:rsidR="005974E8" w:rsidRDefault="005974E8" w:rsidP="005974E8">
      <w:pPr>
        <w:pStyle w:val="berschrift2"/>
        <w:rPr>
          <w:rFonts w:cs="Arial"/>
        </w:rPr>
      </w:pPr>
      <w:r>
        <w:t>Tarefa de construção</w:t>
      </w:r>
    </w:p>
    <w:p w14:paraId="43955204" w14:textId="36C8FD2D" w:rsidR="005974E8" w:rsidRDefault="00956FC8" w:rsidP="005974E8">
      <w:pPr>
        <w:rPr>
          <w:rFonts w:ascii="Arial" w:hAnsi="Arial" w:cs="Arial"/>
        </w:rPr>
      </w:pPr>
      <w:r>
        <w:rPr>
          <w:noProof/>
        </w:rPr>
        <w:drawing>
          <wp:inline distT="0" distB="0" distL="0" distR="0" wp14:anchorId="57A56EC1" wp14:editId="6B2CEE16">
            <wp:extent cx="5760085" cy="260731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2607310"/>
                    </a:xfrm>
                    <a:prstGeom prst="rect">
                      <a:avLst/>
                    </a:prstGeom>
                    <a:noFill/>
                    <a:ln>
                      <a:noFill/>
                    </a:ln>
                  </pic:spPr>
                </pic:pic>
              </a:graphicData>
            </a:graphic>
          </wp:inline>
        </w:drawing>
      </w:r>
    </w:p>
    <w:p w14:paraId="52783799" w14:textId="77777777" w:rsidR="00F302F0" w:rsidRDefault="00F302F0" w:rsidP="005974E8">
      <w:pPr>
        <w:rPr>
          <w:rFonts w:ascii="Arial" w:hAnsi="Arial" w:cs="Arial"/>
        </w:rPr>
      </w:pPr>
    </w:p>
    <w:p w14:paraId="68F9C1BF" w14:textId="77777777" w:rsidR="005974E8" w:rsidRDefault="005974E8" w:rsidP="005974E8">
      <w:pPr>
        <w:pStyle w:val="berschrift2"/>
        <w:rPr>
          <w:rFonts w:cs="Arial"/>
        </w:rPr>
      </w:pPr>
      <w:r>
        <w:t>Tarefa temática</w:t>
      </w:r>
    </w:p>
    <w:p w14:paraId="508A9C12" w14:textId="77777777" w:rsidR="005974E8" w:rsidRDefault="005974E8" w:rsidP="00BB320D">
      <w:pPr>
        <w:rPr>
          <w:rFonts w:ascii="Arial" w:hAnsi="Arial" w:cs="Arial"/>
        </w:rPr>
      </w:pPr>
      <w:r>
        <w:rPr>
          <w:rFonts w:ascii="Arial" w:hAnsi="Arial"/>
        </w:rPr>
        <w:t>1. O eixo de comutação na ilustração transmite 1:3 para a desaceleração ou 3:1 para a aceleração. Para isso, o eixo de acionamento transmite para o eixo de comutação na proporção de 1:2 para a desaceleração. Assim, na primeira marcha a caixa de câmbio manual transmite 1:6 para a desaceleração e na segunda marcha 3:2 para a aceleração. A velocidade de rotação do eixo de saída difere por um fator de 9 em ambas as marchas.</w:t>
      </w:r>
    </w:p>
    <w:p w14:paraId="709236A7" w14:textId="77777777" w:rsidR="0074111A" w:rsidRDefault="005974E8" w:rsidP="002D6E31">
      <w:pPr>
        <w:rPr>
          <w:rFonts w:ascii="Arial" w:hAnsi="Arial" w:cs="Arial"/>
        </w:rPr>
      </w:pPr>
      <w:r>
        <w:rPr>
          <w:rFonts w:ascii="Arial" w:hAnsi="Arial"/>
        </w:rPr>
        <w:t>2. Existem numerosas possibilidades de construção alternativas:</w:t>
      </w:r>
    </w:p>
    <w:p w14:paraId="344795E3" w14:textId="77777777" w:rsidR="002D6E31" w:rsidRDefault="005974E8" w:rsidP="002D6E31">
      <w:pPr>
        <w:rPr>
          <w:rFonts w:ascii="Arial" w:hAnsi="Arial" w:cs="Arial"/>
        </w:rPr>
      </w:pPr>
      <w:r>
        <w:rPr>
          <w:rFonts w:ascii="Arial" w:hAnsi="Arial"/>
        </w:rPr>
        <w:t>Com dois Z20, você pode substituir uma das duas transmissões do eixo de comutação por uma transmissão de 1:1. Nesse caso, a velocidade de rotação do eixo de saída difere por um fator de 3 em ambas as marchas.</w:t>
      </w:r>
    </w:p>
    <w:p w14:paraId="394DEAA0" w14:textId="77777777" w:rsidR="002D6E31" w:rsidRDefault="005974E8" w:rsidP="002D6E31">
      <w:pPr>
        <w:rPr>
          <w:rFonts w:ascii="Arial" w:hAnsi="Arial" w:cs="Arial"/>
        </w:rPr>
      </w:pPr>
      <w:r>
        <w:rPr>
          <w:rFonts w:ascii="Arial" w:hAnsi="Arial"/>
        </w:rPr>
        <w:t xml:space="preserve">Com dois Z10 e dois Z40, pode-se realizar uma transmissão de 1:4 com uma transmissão de 4:1 (para a desaceleração ou aceleração); as velocidades de rotação são, então, um fator de 16 de diferença. </w:t>
      </w:r>
    </w:p>
    <w:p w14:paraId="7D2EC8B3" w14:textId="77777777" w:rsidR="002D6E31" w:rsidRDefault="002D6E31" w:rsidP="00F44ED9">
      <w:pPr>
        <w:rPr>
          <w:rFonts w:ascii="Arial" w:hAnsi="Arial" w:cs="Arial"/>
        </w:rPr>
      </w:pPr>
      <w:r>
        <w:rPr>
          <w:rFonts w:ascii="Arial" w:hAnsi="Arial"/>
        </w:rPr>
        <w:lastRenderedPageBreak/>
        <w:t>Se se substituir um dos dois pares de engrenagens na última caixa de câmbio manual mencionada por dois Z30, se pode substituir a transmissão de 1:4 ou 4:1 por uma transmissão de 1:1. As velocidades de rotação do eixo de saída então diferem apenas por um fator de 4.</w:t>
      </w:r>
    </w:p>
    <w:p w14:paraId="06D66D4C" w14:textId="77777777" w:rsidR="002D6E31" w:rsidRDefault="00B83A4A" w:rsidP="002D6E31">
      <w:pPr>
        <w:rPr>
          <w:rFonts w:ascii="Arial" w:hAnsi="Arial" w:cs="Arial"/>
        </w:rPr>
      </w:pPr>
      <w:r>
        <w:rPr>
          <w:rFonts w:ascii="Arial" w:hAnsi="Arial"/>
        </w:rPr>
        <w:t xml:space="preserve">Com dois Z15 e dois Z30 ou dois Z10 e dois Z20 se pode construir um circuito com uma transmissão de 1:2 e uma de 2:1; as velocidades de rotação do eixo de saída também diferem por um fator de 4 neste circuito. </w:t>
      </w:r>
    </w:p>
    <w:p w14:paraId="6B2BB03C" w14:textId="77777777" w:rsidR="00776219" w:rsidRDefault="00776219" w:rsidP="00776219">
      <w:pPr>
        <w:rPr>
          <w:rFonts w:ascii="Arial" w:hAnsi="Arial" w:cs="Arial"/>
        </w:rPr>
      </w:pPr>
      <w:r>
        <w:rPr>
          <w:rFonts w:ascii="Arial" w:hAnsi="Arial"/>
        </w:rPr>
        <w:t>Um circuito com dois Z15 e dois Z10 fornece as transmissões de 3:2 e 2:3; a diferença nas velocidades de rotação do eixo de saída é de 9:4 (ou seja, um fator de 2,25) nesta construção.</w:t>
      </w:r>
    </w:p>
    <w:p w14:paraId="0614CD69" w14:textId="77777777" w:rsidR="0074111A" w:rsidRDefault="00B83A4A" w:rsidP="0074111A">
      <w:pPr>
        <w:rPr>
          <w:rFonts w:ascii="Arial" w:hAnsi="Arial" w:cs="Arial"/>
        </w:rPr>
      </w:pPr>
      <w:r>
        <w:rPr>
          <w:rFonts w:ascii="Arial" w:hAnsi="Arial"/>
        </w:rPr>
        <w:t>Com dois Z15 e dois Z20, se obtém uma transmissão de 3:4 e uma de 4:3; a diferença de velocidades de rotação neste circuito é um fator de 16:9 (ou seja, aprox. de 1,8).</w:t>
      </w:r>
    </w:p>
    <w:p w14:paraId="6718DFED" w14:textId="77777777" w:rsidR="005974E8" w:rsidRDefault="0074111A" w:rsidP="0074111A">
      <w:pPr>
        <w:rPr>
          <w:rFonts w:ascii="Arial" w:hAnsi="Arial" w:cs="Arial"/>
        </w:rPr>
      </w:pPr>
      <w:r>
        <w:rPr>
          <w:rFonts w:ascii="Arial" w:hAnsi="Arial"/>
        </w:rPr>
        <w:t>Com dois Z15 e dois Z40 se obtém uma transmissão de 3:8 e uma de 8:3; as velocidades de rotação do eixo de saída diferem por um fator de 64:9 (portanto, aprox. de 7,1).</w:t>
      </w:r>
    </w:p>
    <w:p w14:paraId="40537C70" w14:textId="77777777" w:rsidR="00F302F0" w:rsidRDefault="00F302F0" w:rsidP="0074111A">
      <w:pPr>
        <w:rPr>
          <w:rFonts w:ascii="Arial" w:hAnsi="Arial" w:cs="Arial"/>
        </w:rPr>
      </w:pPr>
    </w:p>
    <w:p w14:paraId="5DD99965" w14:textId="77777777" w:rsidR="005974E8" w:rsidRDefault="005974E8" w:rsidP="005974E8">
      <w:pPr>
        <w:pStyle w:val="berschrift2"/>
        <w:rPr>
          <w:rFonts w:cs="Arial"/>
        </w:rPr>
      </w:pPr>
      <w:r>
        <w:t>Tarefa experimental</w:t>
      </w:r>
    </w:p>
    <w:p w14:paraId="7FDEA72E" w14:textId="77777777" w:rsidR="005974E8" w:rsidRDefault="005974E8" w:rsidP="000D44BE">
      <w:pPr>
        <w:rPr>
          <w:rFonts w:ascii="Arial" w:hAnsi="Arial" w:cs="Arial"/>
        </w:rPr>
      </w:pPr>
      <w:r>
        <w:rPr>
          <w:rFonts w:ascii="Arial" w:hAnsi="Arial"/>
        </w:rPr>
        <w:t>1. A seguinte caixa de câmbio manual de três marchas (com dois Z30, dois Z20 e dois Z10) realiza as transmissões de 1:3, 1:1 e 3:1.</w:t>
      </w:r>
    </w:p>
    <w:p w14:paraId="1BC09AB5" w14:textId="1183F55C" w:rsidR="00B83A4A" w:rsidRPr="005C556B" w:rsidRDefault="005C556B" w:rsidP="005974E8">
      <w:pPr>
        <w:rPr>
          <w:rFonts w:ascii="Arial" w:hAnsi="Arial" w:cs="Arial"/>
        </w:rPr>
      </w:pPr>
      <w:r>
        <w:rPr>
          <w:noProof/>
        </w:rPr>
        <w:drawing>
          <wp:inline distT="0" distB="0" distL="0" distR="0" wp14:anchorId="0E68835F" wp14:editId="43BAFEFB">
            <wp:extent cx="5760085" cy="276161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761615"/>
                    </a:xfrm>
                    <a:prstGeom prst="rect">
                      <a:avLst/>
                    </a:prstGeom>
                    <a:noFill/>
                    <a:ln>
                      <a:noFill/>
                    </a:ln>
                  </pic:spPr>
                </pic:pic>
              </a:graphicData>
            </a:graphic>
          </wp:inline>
        </w:drawing>
      </w:r>
    </w:p>
    <w:p w14:paraId="46FBC322" w14:textId="77777777" w:rsidR="00F302F0" w:rsidRDefault="00F302F0" w:rsidP="005974E8">
      <w:pPr>
        <w:rPr>
          <w:rFonts w:ascii="Arial" w:hAnsi="Arial" w:cs="Arial"/>
        </w:rPr>
      </w:pPr>
    </w:p>
    <w:p w14:paraId="4379BDBA" w14:textId="77777777" w:rsidR="009547CD" w:rsidRDefault="009547CD" w:rsidP="009547CD">
      <w:pPr>
        <w:rPr>
          <w:rFonts w:ascii="Arial" w:hAnsi="Arial" w:cs="Arial"/>
        </w:rPr>
      </w:pPr>
      <w:r>
        <w:rPr>
          <w:rFonts w:ascii="Arial" w:hAnsi="Arial"/>
        </w:rPr>
        <w:t>Com dois Z40, dois Z30 e dois Z20 as transmissões de 1:2, 1:1 e 2:1 são possíveis.</w:t>
      </w:r>
    </w:p>
    <w:p w14:paraId="30706243" w14:textId="77777777" w:rsidR="009547CD" w:rsidRDefault="009547CD" w:rsidP="009547CD">
      <w:pPr>
        <w:rPr>
          <w:rFonts w:ascii="Arial" w:hAnsi="Arial" w:cs="Arial"/>
        </w:rPr>
      </w:pPr>
      <w:r>
        <w:rPr>
          <w:rFonts w:ascii="Arial" w:hAnsi="Arial"/>
        </w:rPr>
        <w:t>As mesmas relações de transmissão também podem ser realizadas (muito mais compactas) com dois Z10, dois Z15 e dois Z20.</w:t>
      </w:r>
    </w:p>
    <w:p w14:paraId="62766813" w14:textId="77777777" w:rsidR="00C23343" w:rsidRDefault="00B83A4A" w:rsidP="00C23343">
      <w:pPr>
        <w:rPr>
          <w:rFonts w:cs="Arial"/>
        </w:rPr>
      </w:pPr>
      <w:r>
        <w:rPr>
          <w:rFonts w:ascii="Arial" w:hAnsi="Arial"/>
        </w:rPr>
        <w:t xml:space="preserve">2. A marcha ré (inversão de direção!) com uma transmissão de 1:1 é formada pelos três Z10 de encaixe no lado esquerdo da imagem. A engrenagem central pode ser </w:t>
      </w:r>
      <w:r>
        <w:rPr>
          <w:rFonts w:ascii="Arial" w:hAnsi="Arial"/>
        </w:rPr>
        <w:lastRenderedPageBreak/>
        <w:t>substituída por qualquer outra engrenagem e colocada mais alto ou mais baixo para conectar os dois Z10 de encaixe externos.</w:t>
      </w:r>
      <w:r>
        <w:t xml:space="preserve"> </w:t>
      </w:r>
    </w:p>
    <w:p w14:paraId="73838288" w14:textId="77777777" w:rsidR="00C247E9" w:rsidRDefault="009547CD" w:rsidP="00C247E9">
      <w:pPr>
        <w:rPr>
          <w:rFonts w:ascii="Arial" w:hAnsi="Arial" w:cs="Arial"/>
        </w:rPr>
      </w:pPr>
      <w:r>
        <w:rPr>
          <w:rFonts w:ascii="Arial" w:hAnsi="Arial"/>
          <w:i/>
          <w:iCs/>
        </w:rPr>
        <w:t>Observação</w:t>
      </w:r>
      <w:r>
        <w:rPr>
          <w:rFonts w:ascii="Arial" w:hAnsi="Arial"/>
        </w:rPr>
        <w:t xml:space="preserve">: A mudança da transmissão da do eixo de acionamento para o eixo de comutação e da transmissão final para o eixo de saída (nos exemplos acima constantes 1:1 da caixa de câmbio) permite dimensionar uma caixa de câmbio manual completa: </w:t>
      </w:r>
    </w:p>
    <w:p w14:paraId="17338F40" w14:textId="77777777" w:rsidR="009547CD" w:rsidRPr="003E4449" w:rsidRDefault="00C247E9" w:rsidP="00CB4B96">
      <w:pPr>
        <w:rPr>
          <w:rFonts w:ascii="Arial" w:hAnsi="Arial" w:cs="Arial"/>
        </w:rPr>
      </w:pPr>
      <w:r>
        <w:rPr>
          <w:rFonts w:ascii="Arial" w:hAnsi="Arial"/>
        </w:rPr>
        <w:t>Se a faixa de velocidade ótima do motor e a faixa de velocidade a ser coberta forem conhecidas, a transmissão total necessária da caixa de câmbio manual pode ser calculada de acordo e a construção da caixa de câmbio derivada disso.</w:t>
      </w:r>
    </w:p>
    <w:p w14:paraId="300B36D5" w14:textId="77777777" w:rsidR="003F5601" w:rsidRDefault="00C23343" w:rsidP="0061108F">
      <w:pPr>
        <w:pStyle w:val="berschrift1"/>
        <w:rPr>
          <w:rFonts w:cs="Arial"/>
        </w:rPr>
      </w:pPr>
      <w:r>
        <w:br w:type="page"/>
      </w:r>
    </w:p>
    <w:p w14:paraId="39436624" w14:textId="22B19DCE" w:rsidR="005A19AC" w:rsidRDefault="00560B18" w:rsidP="005A19AC">
      <w:pPr>
        <w:pStyle w:val="Titel"/>
      </w:pPr>
      <w:r>
        <w:lastRenderedPageBreak/>
        <w:t>Anexo</w:t>
      </w:r>
    </w:p>
    <w:p w14:paraId="69B247F8" w14:textId="5BD92D14" w:rsidR="005A19AC" w:rsidRDefault="005A19AC" w:rsidP="00776219">
      <w:pPr>
        <w:pStyle w:val="berschrift2"/>
      </w:pPr>
      <w:r>
        <w:t>Instruções de montagem e modelos para a caixa de câmbio e modelos:</w:t>
      </w:r>
    </w:p>
    <w:p w14:paraId="777FED93" w14:textId="1EF84BFD" w:rsidR="005A19AC" w:rsidRDefault="0061108F" w:rsidP="00384D30">
      <w:pPr>
        <w:jc w:val="left"/>
        <w:rPr>
          <w:rFonts w:ascii="Arial" w:hAnsi="Arial" w:cs="Arial"/>
        </w:rPr>
      </w:pPr>
      <w:r>
        <w:rPr>
          <w:rFonts w:ascii="Arial" w:hAnsi="Arial"/>
        </w:rPr>
        <w:t>Modelo 6: Instruções de montagem para construção básica da caixa de câmbio manual, instruções de montagem da caixa de câmbio manual de duas marchas, instruções de montagem da caixa de câmbio manual de três marchas, instruções de montagem da caixa de câmbio manual de três marchas com marcha ré</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C4DF05" w14:textId="77777777" w:rsidR="00D16BFA" w:rsidRDefault="00D16BFA">
      <w:r>
        <w:separator/>
      </w:r>
    </w:p>
  </w:endnote>
  <w:endnote w:type="continuationSeparator" w:id="0">
    <w:p w14:paraId="6633DF86"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E16ED9"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13A6F7" w14:textId="77777777" w:rsidR="00CB4B96" w:rsidRDefault="00CB4B96">
    <w:pPr>
      <w:pStyle w:val="Fuzeile"/>
    </w:pPr>
    <w:r>
      <w:tab/>
    </w:r>
    <w:r>
      <w:tab/>
    </w:r>
    <w:r>
      <w:fldChar w:fldCharType="begin"/>
    </w:r>
    <w:r>
      <w:instrText>PAGE   \* MERGEFORMAT</w:instrText>
    </w:r>
    <w:r>
      <w:fldChar w:fldCharType="separate"/>
    </w:r>
    <w:r w:rsidR="00560B18">
      <w:rPr>
        <w:noProof/>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37B980" w14:textId="77777777" w:rsidR="00D16BFA" w:rsidRDefault="00D16BFA">
      <w:r>
        <w:separator/>
      </w:r>
    </w:p>
  </w:footnote>
  <w:footnote w:type="continuationSeparator" w:id="0">
    <w:p w14:paraId="7FBD9EB6"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691A3C" w14:textId="77777777" w:rsidR="00CB4B96" w:rsidRDefault="00CB4B96" w:rsidP="00E96821">
    <w:pPr>
      <w:pStyle w:val="Kopfzeile"/>
    </w:pPr>
    <w:r>
      <w:rPr>
        <w:szCs w:val="24"/>
        <w:highlight w:val="yellow"/>
      </w:rPr>
      <w:t>CAMPO DE TEMA</w:t>
    </w:r>
    <w:r>
      <w:t xml:space="preserve"> </w:t>
    </w:r>
    <w:r>
      <w:tab/>
    </w:r>
    <w:r>
      <w:tab/>
    </w:r>
    <w:r>
      <w:rPr>
        <w:noProof/>
        <w:lang w:val="de-DE"/>
      </w:rPr>
      <w:drawing>
        <wp:inline distT="0" distB="0" distL="0" distR="0" wp14:anchorId="757A2BFB" wp14:editId="6AF62634">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72877" w14:textId="77777777" w:rsidR="00CB4B96" w:rsidRDefault="00CB4B96" w:rsidP="00376460">
    <w:pPr>
      <w:pStyle w:val="Kopfzeile"/>
      <w:tabs>
        <w:tab w:val="clear" w:pos="4535"/>
        <w:tab w:val="center" w:pos="7230"/>
      </w:tabs>
    </w:pPr>
    <w:r>
      <w:rPr>
        <w:noProof/>
        <w:lang w:val="de-DE"/>
      </w:rPr>
      <w:drawing>
        <wp:anchor distT="0" distB="0" distL="114300" distR="114300" simplePos="0" relativeHeight="251658240" behindDoc="0" locked="0" layoutInCell="1" allowOverlap="1" wp14:anchorId="002499FF" wp14:editId="17347DE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Caixa de câmbio - Conjunto de classes Nível secundário I+II</w:t>
    </w:r>
    <w:r>
      <w:tab/>
    </w:r>
    <w:r>
      <w:tab/>
    </w:r>
    <w:r>
      <w:rPr>
        <w:noProof/>
        <w:lang w:val="de-DE"/>
      </w:rPr>
      <w:drawing>
        <wp:inline distT="0" distB="0" distL="0" distR="0" wp14:anchorId="53CF4F47" wp14:editId="532133C2">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95F47"/>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6460"/>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60B18"/>
    <w:rsid w:val="00573ACB"/>
    <w:rsid w:val="00576668"/>
    <w:rsid w:val="005771A4"/>
    <w:rsid w:val="00591572"/>
    <w:rsid w:val="005940DF"/>
    <w:rsid w:val="00595245"/>
    <w:rsid w:val="005974E8"/>
    <w:rsid w:val="005A19AC"/>
    <w:rsid w:val="005A49AD"/>
    <w:rsid w:val="005C3C3E"/>
    <w:rsid w:val="005C556B"/>
    <w:rsid w:val="005C6BE9"/>
    <w:rsid w:val="005D2CD9"/>
    <w:rsid w:val="005E57C1"/>
    <w:rsid w:val="005F6FD5"/>
    <w:rsid w:val="005F7EED"/>
    <w:rsid w:val="00603326"/>
    <w:rsid w:val="0061108F"/>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81E34"/>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56FC8"/>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030"/>
    <w:rsid w:val="00D201D4"/>
    <w:rsid w:val="00D247B8"/>
    <w:rsid w:val="00D461ED"/>
    <w:rsid w:val="00D462A8"/>
    <w:rsid w:val="00D479CF"/>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0D4F"/>
    <w:rsid w:val="00EE586D"/>
    <w:rsid w:val="00EF323F"/>
    <w:rsid w:val="00EF3363"/>
    <w:rsid w:val="00EF6673"/>
    <w:rsid w:val="00F04C77"/>
    <w:rsid w:val="00F225D5"/>
    <w:rsid w:val="00F302F0"/>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AA5D2FA"/>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pt-BR" w:eastAsia="de-DE" w:bidi="ar-SA"/>
    </w:rPr>
  </w:style>
  <w:style w:type="character" w:customStyle="1" w:styleId="Titel1Zchn">
    <w:name w:val="Titel (1) Zchn"/>
    <w:basedOn w:val="TitelZchn"/>
    <w:link w:val="Titel1"/>
    <w:rsid w:val="00CA31C2"/>
    <w:rPr>
      <w:rFonts w:ascii="Arial" w:hAnsi="Arial"/>
      <w:b/>
      <w:sz w:val="48"/>
      <w:szCs w:val="40"/>
      <w:lang w:val="pt-BR"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purl.org/dc/elements/1.1/"/>
    <ds:schemaRef ds:uri="http://schemas.microsoft.com/office/2006/metadata/properties"/>
    <ds:schemaRef ds:uri="http://schemas.openxmlformats.org/package/2006/metadata/core-properties"/>
    <ds:schemaRef ds:uri="http://purl.org/dc/terms/"/>
    <ds:schemaRef ds:uri="e047a197-46ab-4299-92cd-ec119e6fe81f"/>
    <ds:schemaRef ds:uri="http://schemas.microsoft.com/office/infopath/2007/PartnerControls"/>
    <ds:schemaRef ds:uri="http://schemas.microsoft.com/office/2006/documentManagement/types"/>
    <ds:schemaRef ds:uri="ea79bf52-7098-41fc-8881-a3872bd99c43"/>
    <ds:schemaRef ds:uri="http://www.w3.org/XML/1998/namespace"/>
    <ds:schemaRef ds:uri="http://purl.org/dc/dcmitype/"/>
  </ds:schemaRefs>
</ds:datastoreItem>
</file>

<file path=customXml/itemProps2.xml><?xml version="1.0" encoding="utf-8"?>
<ds:datastoreItem xmlns:ds="http://schemas.openxmlformats.org/officeDocument/2006/customXml" ds:itemID="{8E14B960-2958-46E8-BBE0-8B2628AEFDB0}"/>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679</Words>
  <Characters>3124</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3796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Edição 1/2011</dc:subject>
  <dc:creator>Dirk Fox</dc:creator>
  <cp:keywords/>
  <dc:description/>
  <cp:lastModifiedBy>Reich, Jasmin</cp:lastModifiedBy>
  <cp:revision>6</cp:revision>
  <cp:lastPrinted>2021-01-03T21:38:00Z</cp:lastPrinted>
  <dcterms:created xsi:type="dcterms:W3CDTF">2021-02-24T20:38:00Z</dcterms:created>
  <dcterms:modified xsi:type="dcterms:W3CDTF">2021-03-01T10:07:00Z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